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9389.xml.htm"/>
      <w:bookmarkStart w:id="1" w:name="kswkform4_17861393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McKinnis Aric Brendan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7005 SOUTHFRONT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LIVERMORE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FORMFACTOR INC</w:t>
              </w:r>
            </w:hyperlink>
            <w:r>
              <w:rPr/>
              <w:t xml:space="preserve"> [ </w:t>
            </w:r>
            <w:r>
              <w:rPr>
                <w:rFonts w:ascii="Times;serif" w:hAnsi="Times;serif"/>
                <w:color w:val="0000FF"/>
                <w:sz w:val="24"/>
                <w:shd w:fill="FFFFFF" w:val="clear"/>
              </w:rPr>
              <w:t>FORM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SVP Global Finance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13,457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w:t>
            </w:r>
            <w:r>
              <w:rPr>
                <w:rFonts w:ascii="Times;serif" w:hAnsi="Times;serif"/>
                <w:color w:val="008000"/>
                <w:position w:val="7"/>
                <w:sz w:val="16"/>
                <w:sz w:val="20"/>
                <w:shd w:fill="FFFFFF" w:val="clear"/>
              </w:rPr>
              <w:t>(2)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114.44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13,327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14,426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115.21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14,152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reflect the settlement of restricted stock units of the Issuer. Each Restricted Stock Unit (RSU) is convertible into a share of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withheld upon vesting of restricted stock units to cover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granted on August 5, 2024 vest in twelve (12) quarterly installments beginning on November 5, 2024 and ending on August 5, 2027 and will be settled into shares of common stock on or following the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If the reporting person's employment is terminated for any reason before an applicable Vesting Date, all restricted stock units that have not yet vested shall be forfeited without consideration, except as provided in the change of control severance agreement and any other agreements regarding equity vesting and exercisability between the reporting person and Issuer, which agreements or form agreements are filed with the SEC.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granted on November 6, 2025 vest in twelve (12) quarterly installments beginning on February 6, 2026 and ending on November 6, 2028 and will be settled into shares of common stock on or following the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Stan Finkelstein, Attorney-in-fact for Aric McKinnis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0926" TargetMode="External"/><Relationship Id="rId5" Type="http://schemas.openxmlformats.org/officeDocument/2006/relationships/hyperlink" Target="http://www.sec.gov/cgi-bin/browse-edgar?action=getcompany&amp;CIK=00010393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823</Words>
  <Characters>4383</Characters>
  <CharactersWithSpaces>5086</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