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127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McKinnis Aric Brendan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7005 SOUTHFRONT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FORMFACTOR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FORM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6"/>
        <w:spacing w:after="0"/>
        <w:rPr>
          <w:sz w:val="20"/>
          <w:szCs w:val="20"/>
          <w:color w:val="auto"/>
        </w:rPr>
      </w:pPr>
      <w:r>
        <w:rPr>
          <w:rFonts w:ascii="Times New Roman" w:cs="Times New Roman" w:eastAsia="Times New Roman" w:hAnsi="Times New Roman"/>
          <w:sz w:val="17"/>
          <w:szCs w:val="17"/>
          <w:color w:val="0000FF"/>
        </w:rPr>
        <w:t>CFO, SVP Global Finance</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LIVERMORE   CA</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94551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06/02/2026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right"/>
              <w:ind w:right="39"/>
              <w:spacing w:after="0"/>
              <w:rPr>
                <w:sz w:val="20"/>
                <w:szCs w:val="20"/>
                <w:color w:val="auto"/>
              </w:rPr>
            </w:pPr>
            <w:r>
              <w:rPr>
                <w:rFonts w:ascii="Times New Roman" w:cs="Times New Roman" w:eastAsia="Times New Roman" w:hAnsi="Times New Roman"/>
                <w:sz w:val="17"/>
                <w:szCs w:val="17"/>
                <w:color w:val="0000FF"/>
              </w:rPr>
              <w:t>773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13,129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06/02/2026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68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193</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125.11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12,936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06/02/2026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773</w:t>
            </w: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reflect the settlement of restricted stock units of the Issuer. Each Restricted Stock Unit (RSU) is convertible into a share of common stock on a 1-for-1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upon vesting of restricted stock units to cover tax withholding obligations.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granted on June 2, 2023 vest in twelve (12) quarterly installments beginning on September 2, 2023 and ending on June 2, 2026 and will be settled into shares of common stock on or following the vesting dates.</w:t>
      </w:r>
    </w:p>
    <w:p>
      <w:pPr>
        <w:spacing w:after="0" w:line="1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If the reporting person's employment is terminated for any reason before an applicable Vesting Date, all restricted stock units that have not yet vested shall be forfeited without consideration, except as provided in the change of control severance agreement and any other agreements regarding equity vesting and exercisability between the reporting person and Issuer, which agreements or form agreements are filed with the SEC.</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Stan Finkelstein,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Aric McKinnis</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0926" TargetMode="External"/><Relationship Id="rId14" Type="http://schemas.openxmlformats.org/officeDocument/2006/relationships/hyperlink" Target="http://www.sec.gov/cgi-bin/browse-edgar?action=getcompany&amp;CIK=00010393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2026-06-04T17:22:55Z</dcterms:created>
  <dcterms:modified xsi:type="dcterms:W3CDTF">2026-06-04T17:22:55Z</dcterms:modified>
</cp:coreProperties>
</file>