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01881.xml.htm"/>
      <w:bookmarkStart w:id="1" w:name="kswkform4_17864018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McKinnis Aric Brendan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7005 SOUTHFRONT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LIVERMORE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FORMFACTOR INC</w:t>
              </w:r>
            </w:hyperlink>
            <w:r>
              <w:rPr/>
              <w:t xml:space="preserve"> [ </w:t>
            </w:r>
            <w:r>
              <w:rPr>
                <w:rFonts w:ascii="Times;serif" w:hAnsi="Times;serif"/>
                <w:color w:val="0000FF"/>
                <w:sz w:val="24"/>
                <w:shd w:fill="FFFFFF" w:val="clear"/>
              </w:rPr>
              <w:t>FORM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SVP Global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granted on August 6, 2026 vest in twelve (12) quarterly installments beginning on November 6, 2026 and ending on August 6, 2029 and will be settled into shares of common stock on or following the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If the reporting person's employment is terminated for any reason before an applicable Vesting Date, all restricted stock units that have not yet vested shall be forfeited without consideration, except as provided in the change of control severance agreement and any other agreements regarding equity vesting and exercisability between the reporting person and Issuer, which agreements or form agreements are filed with the SEC.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Stan Finkelstein, Attorney-in-fact for Aric McKinnis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0926" TargetMode="External"/><Relationship Id="rId5" Type="http://schemas.openxmlformats.org/officeDocument/2006/relationships/hyperlink" Target="http://www.sec.gov/cgi-bin/browse-edgar?action=getcompany&amp;CIK=00010393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3689</Characters>
  <CharactersWithSpaces>4295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