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12"/>
        </w:rPr>
        <w:t>____________________________</w:t>
      </w:r>
    </w:p>
    <w:p>
      <w:pPr>
        <w:pStyle w:val="TextBody"/>
        <w:bidi w:val="0"/>
        <w:spacing w:lineRule="auto" w:line="288" w:before="180" w:after="283"/>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Date of report (Date of earliest event reported):  July 29,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FORMFACTOR, INC.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p>
      <w:pPr>
        <w:pStyle w:val="TextBody"/>
        <w:bidi w:val="0"/>
        <w:spacing w:lineRule="auto" w:line="288" w:before="0" w:after="0"/>
        <w:jc w:val="center"/>
        <w:rPr>
          <w:color w:val="000000"/>
        </w:rPr>
      </w:pPr>
      <w:r>
        <w:rPr>
          <w:color w:val="000000"/>
        </w:rPr>
        <w:t> </w:t>
      </w:r>
    </w:p>
    <w:tbl>
      <w:tblPr>
        <w:tblW w:w="8601" w:type="dxa"/>
        <w:jc w:val="center"/>
        <w:tblInd w:w="0" w:type="dxa"/>
        <w:tblLayout w:type="fixed"/>
        <w:tblCellMar>
          <w:top w:w="28" w:type="dxa"/>
          <w:left w:w="28" w:type="dxa"/>
          <w:bottom w:w="28" w:type="dxa"/>
          <w:right w:w="28" w:type="dxa"/>
        </w:tblCellMar>
      </w:tblPr>
      <w:tblGrid>
        <w:gridCol w:w="607"/>
        <w:gridCol w:w="537"/>
        <w:gridCol w:w="537"/>
        <w:gridCol w:w="537"/>
        <w:gridCol w:w="537"/>
        <w:gridCol w:w="543"/>
        <w:gridCol w:w="109"/>
        <w:gridCol w:w="109"/>
        <w:gridCol w:w="109"/>
        <w:gridCol w:w="687"/>
        <w:gridCol w:w="687"/>
        <w:gridCol w:w="695"/>
        <w:gridCol w:w="109"/>
        <w:gridCol w:w="109"/>
        <w:gridCol w:w="109"/>
        <w:gridCol w:w="752"/>
        <w:gridCol w:w="752"/>
        <w:gridCol w:w="1076"/>
      </w:tblGrid>
      <w:tr>
        <w:trPr/>
        <w:tc>
          <w:tcPr>
            <w:tcW w:w="60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000-50307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13-3711155</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7005 Southfront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Livermore,</w:t>
            </w:r>
          </w:p>
        </w:tc>
        <w:tc>
          <w:tcPr>
            <w:tcW w:w="16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94551</w:t>
            </w:r>
          </w:p>
        </w:tc>
      </w:tr>
      <w:tr>
        <w:trPr/>
        <w:tc>
          <w:tcPr>
            <w:tcW w:w="32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 xml:space="preserve">(925) 290-4000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0"/>
        <w:ind w:left="0" w:right="0" w:firstLine="360"/>
        <w:jc w:val="center"/>
        <w:rPr>
          <w:rFonts w:ascii="Times New Roman;serif" w:hAnsi="Times New Roman;serif"/>
          <w:b/>
          <w:color w:val="000000"/>
          <w:sz w:val="18"/>
        </w:rPr>
      </w:pPr>
      <w:r>
        <w:rPr>
          <w:rFonts w:ascii="Times New Roman;serif" w:hAnsi="Times New Roman;serif"/>
          <w:b/>
          <w:color w:val="000000"/>
          <w:sz w:val="18"/>
        </w:rPr>
        <w:t>_____________________________</w:t>
      </w:r>
    </w:p>
    <w:p>
      <w:pPr>
        <w:pStyle w:val="TextBody"/>
        <w:bidi w:val="0"/>
        <w:spacing w:before="180" w:after="283"/>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40" w:after="283"/>
        <w:jc w:val="left"/>
        <w:rPr/>
      </w:pPr>
      <w:r>
        <w:rPr/>
      </w:r>
    </w:p>
    <w:p>
      <w:pPr>
        <w:pStyle w:val="TextBody"/>
        <w:bidi w:val="0"/>
        <w:spacing w:lineRule="auto" w:line="288" w:before="0" w:after="0"/>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Section12(b) of the Act:</w:t>
      </w:r>
    </w:p>
    <w:tbl>
      <w:tblPr>
        <w:tblW w:w="8671" w:type="dxa"/>
        <w:jc w:val="center"/>
        <w:tblInd w:w="0" w:type="dxa"/>
        <w:tblLayout w:type="fixed"/>
        <w:tblCellMar>
          <w:top w:w="28" w:type="dxa"/>
          <w:left w:w="28" w:type="dxa"/>
          <w:bottom w:w="28" w:type="dxa"/>
          <w:right w:w="28" w:type="dxa"/>
        </w:tblCellMar>
      </w:tblPr>
      <w:tblGrid>
        <w:gridCol w:w="124"/>
        <w:gridCol w:w="109"/>
        <w:gridCol w:w="109"/>
        <w:gridCol w:w="873"/>
        <w:gridCol w:w="873"/>
        <w:gridCol w:w="879"/>
        <w:gridCol w:w="109"/>
        <w:gridCol w:w="109"/>
        <w:gridCol w:w="109"/>
        <w:gridCol w:w="109"/>
        <w:gridCol w:w="109"/>
        <w:gridCol w:w="109"/>
        <w:gridCol w:w="484"/>
        <w:gridCol w:w="484"/>
        <w:gridCol w:w="486"/>
        <w:gridCol w:w="109"/>
        <w:gridCol w:w="109"/>
        <w:gridCol w:w="109"/>
        <w:gridCol w:w="956"/>
        <w:gridCol w:w="956"/>
        <w:gridCol w:w="1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40" w:after="283"/>
        <w:ind w:left="0" w:right="0" w:firstLine="360"/>
        <w:jc w:val="left"/>
        <w:rPr>
          <w:color w:val="000000"/>
        </w:rPr>
      </w:pPr>
      <w:r>
        <w:rPr>
          <w:color w:val="000000"/>
        </w:rPr>
        <w:t> </w:t>
      </w:r>
    </w:p>
    <w:p>
      <w:pPr>
        <w:pStyle w:val="TextBody"/>
        <w:bidi w:val="0"/>
        <w:spacing w:lineRule="auto" w:line="288" w:before="80" w:after="283"/>
        <w:ind w:left="0" w:right="0" w:firstLine="360"/>
        <w:jc w:val="left"/>
        <w:rPr>
          <w:color w:val="000000"/>
        </w:rPr>
      </w:pPr>
      <w:r>
        <w:rPr>
          <w:color w:val="000000"/>
        </w:rPr>
        <w:t> </w:t>
      </w:r>
      <w:r>
        <w:rPr>
          <w:rFonts w:ascii="Times New Roman;serif" w:hAnsi="Times New Roman;serif"/>
          <w:b w:val="false"/>
          <w:color w:val="000000"/>
          <w:sz w:val="18"/>
        </w:rPr>
        <w:t>Indicate by check mark whether the registrant is an emerging growth company as defined in Rule 405 of the Securities Act of 1933(§230.405 of this chapter) or Rule 12b-2 of the Securities Exchange Act of 1934 (§240.12b-2 of this chapter).</w:t>
      </w:r>
    </w:p>
    <w:p>
      <w:pPr>
        <w:pStyle w:val="TextBody"/>
        <w:bidi w:val="0"/>
        <w:spacing w:before="80" w:after="283"/>
        <w:ind w:left="0" w:right="0" w:firstLine="360"/>
        <w:jc w:val="left"/>
        <w:rPr/>
      </w:pPr>
      <w:r>
        <w:rPr/>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18"/>
        </w:rPr>
        <w:t>Emerging growth company</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2026, FormFactor, Inc. (“FormFactor”) issued a press release announcing its financial results for the second quarter of fiscal 2026 that ended on June 27, 2026. A copy of the press release is furnished as Exhibit 99.01 to this report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information and the accompanying Exhibit 99.01 shall not be incorporated by reference into any filing of FormFactor with the Securities and Exchange Commission, whether made before or after the date hereof, regardless of any general incorporation language in such filing, unless expressly incorporated by specific reference in such filing. This information, including the accompanying exhibit, shall not be deemed to be “filed” for purposes of Section 18 of the Securities Exchange Act of 1934, as amended, or otherwise subject to the liabilities of that section or Sections 11 and 12(a)(2) of the Securities Act of 1933,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 is filed herewith and this list is intended to constitute the exhibit index.</w:t>
      </w:r>
    </w:p>
    <w:tbl>
      <w:tblPr>
        <w:tblW w:w="845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41"/>
        <w:gridCol w:w="1941"/>
        <w:gridCol w:w="2763"/>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01-earningsreleasexq226.htm">
              <w:r>
                <w:rPr>
                  <w:rStyle w:val="InternetLink"/>
                  <w:rFonts w:ascii="Times New Roman;serif" w:hAnsi="Times New Roman;serif"/>
                  <w:b w:val="false"/>
                  <w:color w:val="0000FF"/>
                  <w:sz w:val="20"/>
                  <w:u w:val="single"/>
                </w:rPr>
                <w:t>99.01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July 29, 2026</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5284"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215"/>
        <w:gridCol w:w="215"/>
        <w:gridCol w:w="215"/>
        <w:gridCol w:w="287"/>
        <w:gridCol w:w="287"/>
        <w:gridCol w:w="287"/>
        <w:gridCol w:w="586"/>
        <w:gridCol w:w="586"/>
        <w:gridCol w:w="8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17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FORMFACTOR, INC.</w:t>
            </w:r>
          </w:p>
        </w:tc>
      </w:tr>
      <w:tr>
        <w:trPr/>
        <w:tc>
          <w:tcPr>
            <w:tcW w:w="17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7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ARIC MCKINNIS</w:t>
            </w:r>
          </w:p>
        </w:tc>
      </w:tr>
      <w:tr>
        <w:trPr/>
        <w:tc>
          <w:tcPr>
            <w:tcW w:w="17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Aric McKinnis</w:t>
            </w:r>
          </w:p>
        </w:tc>
      </w:tr>
      <w:tr>
        <w:trPr/>
        <w:tc>
          <w:tcPr>
            <w:tcW w:w="17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180" w:after="283"/>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99.01</w:t>
      </w:r>
    </w:p>
    <w:p>
      <w:pPr>
        <w:pStyle w:val="TextBody"/>
        <w:bidi w:val="0"/>
        <w:spacing w:lineRule="auto" w:line="288" w:before="0" w:after="0"/>
        <w:jc w:val="left"/>
        <w:rPr/>
      </w:pPr>
      <w:r>
        <w:rPr/>
        <w:drawing>
          <wp:inline distT="0" distB="0" distL="0" distR="0">
            <wp:extent cx="1771650" cy="3143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771650" cy="314325"/>
                    </a:xfrm>
                    <a:prstGeom prst="rect">
                      <a:avLst/>
                    </a:prstGeom>
                  </pic:spPr>
                </pic:pic>
              </a:graphicData>
            </a:graphic>
          </wp:inline>
        </w:drawing>
      </w: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News Release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Stan Finkelstein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(925) 290-4273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ir@formfactor.com</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 REPORTS 2026 SECOND QUARTER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Delivers Record Revenue, Gross Profit and Earnings Per Share;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Sees Strong Demand in DRAM, Foundry &amp; Logic and Systems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LIVERMORE, Calif. — July 29, 2026</w:t>
      </w:r>
      <w:r>
        <w:rPr>
          <w:color w:val="000000"/>
        </w:rPr>
        <w:t xml:space="preserve"> — </w:t>
      </w:r>
      <w:r>
        <w:rPr>
          <w:rFonts w:ascii="Times New Roman;serif" w:hAnsi="Times New Roman;serif"/>
          <w:b w:val="false"/>
          <w:color w:val="000000"/>
          <w:sz w:val="20"/>
        </w:rPr>
        <w:t xml:space="preserve">FormFactor, Inc. (Nasdaq: FORM) today announced its financial results for the second quarter of fiscal 2026 ended June 27, 2026. Quarterly revenues were $258.2 million, an increase of 14.2% compared to $226.1 million in the first quarter of fiscal 2026, and an increase of 31.9% from $195.8 million in the second quarter of fiscal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Produced revenue, gross margins and earnings per share exceeding the high end of the GAAP and Non-GAAP outlook range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Experienced broad-based demand, with strength in key growth initiatives including High Bandwidth Memory and Co-Packaged Optics driving sequential revenue increases in both the Probe Cards and Systems segments, respectively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Announced expanded multi-year partnership with Keystone Microtech, reinforcing FormFactor's presence in the strategically important Taiwan semiconductor ecosystem</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Over the past four quarters, FormFactor has grown revenue more than 30%, expanded Non-GAAP gross margin 1,500 basis points, and tripled earnings per share,” said Mike Slessor, CEO of FormFactor, Inc. “These improvements reflect years of investment to create and expand our unique position at the intersection of high-performance compute and advanced packaging, coupled with stronger execution to enhance profitability and drive operating leverage.”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Second Quarter Highlights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 GAAP basis, net income for the second quarter of fiscal 2026 was $56.2 million, or $0.71 per fully-diluted share, compared to net income for the first quarter of fiscal 2026 of $20.4 million, or $0.26 per fully-diluted share, and net income for the second quarter of fiscal 2025 of $9.1 million, or $0.12 per fully-diluted share. Gross margin for the second quarter of 2026 was 50.7%, compared with 38.4% in the first quarter of 2026, and 37.3% in the second quarter of 2025.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 non-GAAP basis, net income for the second quarter of fiscal 2026 was $65.0 million, or $0.82 per fully-diluted share, compared to net income for the first quarter of fiscal 2026 of $44.5 million, or $0.56 per fully-diluted share, and net income for the second quarter of fiscal 2025 of $21.2 million, or $0.27 per fully-diluted share. On a non-GAAP basis, gross margin for the second quarter of 2026 was 53.3%, compared with 49.0% in the first quarter of 2026, and 38.5% in the second quarter of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GAAP net cash provided by operating activities for the second quarter of fiscal 2026 was $61.8 million, compared to $45.0 million for the first quarter of fiscal 2026, and $18.9 million for the second quarter of fiscal 2025. Free cash flow for the second quarter of fiscal 2026 was $52.6 million, compared to free cash flow for the first quarter of fiscal 2026 of $30.7 million, and free cash flow for the second quarter of 2025 of negative $47.1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reconciliation of GAAP to non-GAAP measures is provided in the schedules included below.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Outlook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Dr. Slessor added, “As we look ahead to the third quarter, we continue to see strong demand across our end markets, with particular strength in Foundry &amp; Logic and continued momentum in our Systems business, positioning us for another quarter of record revenue and profitability.”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third quarter ending September 26, 2026, FormFactor is providing the following outlook*:</w:t>
      </w:r>
    </w:p>
    <w:tbl>
      <w:tblPr>
        <w:tblW w:w="9048" w:type="dxa"/>
        <w:jc w:val="left"/>
        <w:tblInd w:w="0" w:type="dxa"/>
        <w:tblLayout w:type="fixed"/>
        <w:tblCellMar>
          <w:top w:w="28" w:type="dxa"/>
          <w:left w:w="28" w:type="dxa"/>
          <w:bottom w:w="28" w:type="dxa"/>
          <w:right w:w="28" w:type="dxa"/>
        </w:tblCellMar>
      </w:tblPr>
      <w:tblGrid>
        <w:gridCol w:w="776"/>
        <w:gridCol w:w="682"/>
        <w:gridCol w:w="687"/>
        <w:gridCol w:w="109"/>
        <w:gridCol w:w="109"/>
        <w:gridCol w:w="109"/>
        <w:gridCol w:w="702"/>
        <w:gridCol w:w="702"/>
        <w:gridCol w:w="710"/>
        <w:gridCol w:w="109"/>
        <w:gridCol w:w="109"/>
        <w:gridCol w:w="109"/>
        <w:gridCol w:w="549"/>
        <w:gridCol w:w="549"/>
        <w:gridCol w:w="551"/>
        <w:gridCol w:w="109"/>
        <w:gridCol w:w="109"/>
        <w:gridCol w:w="109"/>
        <w:gridCol w:w="630"/>
        <w:gridCol w:w="630"/>
        <w:gridCol w:w="899"/>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Reconciling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Non-GAAP</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$270 million +/- $10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$270 million +/- $10 million</w:t>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$5.3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54.0% +/- 1.5%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$0.75 +/- $0.09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$0.86 +/- $0.09</w:t>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outlook assumes consistent foreign currency rates.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**Reconciling items are stock-based compensation, amortization of intangible assets and fixed asset fair value adjustments due to acquisitions, and restructuring charges, net of applicable income tax impacts.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posted our revenue breakdown by geographic region, by market segment and with customers with greater than 10% of total revenue on the Investor Relations section of our website at www.formfactor.com. We will conduct a conference call at 1:25 p.m. PT, or 4:25 p.m. ET, today.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public is invited to listen to a live webcast of FormFactor’s conference call on the Investor Relations section of our website at www.formfactor.com. A telephone replay of the conference call will be available approximately two hours after the conclusion of the call. The replay will be available on the Investor Relations section of our website, www.formfactor.com.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Use of Non-GAAP Financial Information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results prepared under generally accepted accounting principles, or GAAP, we disclose certain non-GAAP measures of non-GAAP net income, non-GAAP net income per basic and diluted share, non-GAAP gross profit, non-GAAP gross margin, non-GAAP operating expenses, non-GAAP operating income and free cash flow, that are adjusted from the nearest GAAP financial measure to exclude certain costs, expenses, gains and losses. Reconciliations of the adjustments to GAAP results for the three and six months ended June 27, 2026, and for outlook provided before, as well as for the comparable period of fiscal 2025, are provided below, and on the Investor Relations section of our website at www.formfactor.com. Information regarding the ways in which management uses non-GAAP financial information to evaluate its business, management's reasons for using this non-GAAP financial information, and limitations associated with the use of non-GAAP financial information, is included under “About our Non-GAAP Financial Measures” following the tables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About FormFactor: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FormFactor, Inc. (Nasdaq: FORM), is a leading provider of essential test and measurement technologies along the full semiconductor product life cycle - from characterization, modeling, reliability, and design de-bug, to qualification and production test. Semiconductor companies rely upon FormFactor’s products and services to optimize device performance and advance yield knowledge. The Company serves customers through its network of facilities in Asia, Europe, and North America. For more information, visit the Company’s website at www.formfactor.com.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Forward-looking Statements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“safe harbor” provisions of the federal securities laws, including with respect to the Company’s future financial and operating results, market demand, and the Company’s plans, strategies and objectives for future operations. These statements are based on management’s current expectations and beliefs as of the date of this release, and are subject to a number of risks and uncertainties, many of which are beyond the Company’s control, that could cause actual results to differ materially from those described in the forward-looking statements. These forward-looking statements include, but are not limited to, statements regarding future financial and operating results, including under the heading “Outlook” above, the Company's performance, the Company's business strategies, and other statements regarding the Company’s business. Forward-looking statements may contain words such as “may,” “might,” “will,” “expect,” “plan,” “anticipate,” “forecast,” “continue,” and “prospect,” and the negative or plural of these words and similar expressions, and include the assumptions that underlie such statements. The following factors, among others, could cause actual results to differ materially from those described in the forward-looking statements: changes in and impacts from export control, tariffs and other trade barriers; changes in demand for the Company’s products; customer-specific demand; market opportunity; anticipated industry trends; the availability, benefits, and speed of customer acceptance or implementation of new products and technologies; manufacturing, processing, and design capacity, goals, expansion, volumes, and progress; difficulties or delays in research and development; industry seasonality; risks to the Company’s realization of benefits from acquisitions and investments; demand volatility and cyclicality of the industry; advancement of artificial intelligence; reliance on customers or third parties (including suppliers); changes in macro-economic environments; events affecting global and regional economic and market conditions and stability such as tariffs, military conflicts, political volatility,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infectious diseases and pandemics, and similar factors, operating separately or in combination; and other factors, including those set forth in the Company’s most current annual report on Form 10-K, quarterly reports on Form 10-Q and other filings by the Company with the U.S. Securities and Exchange Commission. In addition, there are varying barriers to international trade, including restrictive trade and export regulations such as the US-China restrictions, dynamic tariffs, trade disputes between the U.S. and other countries, and national security developments or tensions, that may substantially restrict or condition our sales to or in certain countries, increase the cost of doing business internationally, and disrupt our supply chain. No assurances can be given that any of the events anticipated by the forward-looking statements within this press release will transpire or occur, or if any of them do so, what impact they will have on the results of operations or financial condition of the Company. Unless required by law, the Company is under no obligation (and expressly disclaims any such obligation) to update or revise its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FORMFACTOR,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324"/>
        <w:gridCol w:w="1150"/>
        <w:gridCol w:w="1152"/>
        <w:gridCol w:w="199"/>
        <w:gridCol w:w="750"/>
        <w:gridCol w:w="110"/>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7"/>
      </w:tblGrid>
      <w:tr>
        <w:trPr/>
        <w:tc>
          <w:tcPr>
            <w:tcW w:w="132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367,154 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Factory start-up costs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121,886 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net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equity investment</w:t>
            </w:r>
          </w:p>
        </w:tc>
        <w:tc>
          <w:tcPr>
            <w:tcW w:w="9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60,694 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investment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shares used in per share calculations: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4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79,607 </w:t>
            </w:r>
          </w:p>
        </w:tc>
        <w:tc>
          <w:tcPr>
            <w:tcW w:w="110"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79,415 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77,527 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79,546 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77,721 </w:t>
            </w:r>
          </w:p>
        </w:tc>
        <w:tc>
          <w:tcPr>
            <w:tcW w:w="1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FORMFACTOR,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 RECONCILIATIONS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08"/>
        <w:gridCol w:w="924"/>
        <w:gridCol w:w="868"/>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96"/>
        <w:gridCol w:w="736"/>
        <w:gridCol w:w="256"/>
        <w:gridCol w:w="109"/>
        <w:gridCol w:w="109"/>
        <w:gridCol w:w="109"/>
        <w:gridCol w:w="196"/>
        <w:gridCol w:w="736"/>
        <w:gridCol w:w="303"/>
      </w:tblGrid>
      <w:tr>
        <w:trPr/>
        <w:tc>
          <w:tcPr>
            <w:tcW w:w="120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130,922 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86,794 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72,938 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137,461 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and fixed asset fair value adjustments due to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Gross Profit</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110,733 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75,339 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248,352 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142,469 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and fixed asset fair value adjustments due to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Gross Margin</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121,886 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related to sale and acquisition of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52,490 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127,660 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102,722 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and fixed asset fair value adjustments due to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related to sale and acquisition of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income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71,965 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48,727 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22,849 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120,692 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39,747 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FORMFACTOR,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 RECONCILIATIONS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25"/>
        <w:gridCol w:w="1174"/>
        <w:gridCol w:w="1129"/>
        <w:gridCol w:w="196"/>
        <w:gridCol w:w="692"/>
        <w:gridCol w:w="109"/>
        <w:gridCol w:w="109"/>
        <w:gridCol w:w="109"/>
        <w:gridCol w:w="109"/>
        <w:gridCol w:w="196"/>
        <w:gridCol w:w="692"/>
        <w:gridCol w:w="109"/>
        <w:gridCol w:w="109"/>
        <w:gridCol w:w="109"/>
        <w:gridCol w:w="109"/>
        <w:gridCol w:w="196"/>
        <w:gridCol w:w="692"/>
        <w:gridCol w:w="109"/>
        <w:gridCol w:w="109"/>
        <w:gridCol w:w="109"/>
        <w:gridCol w:w="109"/>
        <w:gridCol w:w="196"/>
        <w:gridCol w:w="736"/>
        <w:gridCol w:w="109"/>
        <w:gridCol w:w="109"/>
        <w:gridCol w:w="109"/>
        <w:gridCol w:w="109"/>
        <w:gridCol w:w="196"/>
        <w:gridCol w:w="782"/>
        <w:gridCol w:w="159"/>
      </w:tblGrid>
      <w:tr>
        <w:trPr/>
        <w:tc>
          <w:tcPr>
            <w:tcW w:w="142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 and fixed asset fair value adjustments due to acquisitions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related to sale and acquisition of businesses, net of gain on sale of assets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 of non-GAAP adjustments</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per share:</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 per share:</w:t>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5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cash provided by 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business and acquisition related payments in working capital</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(84,840)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Free cash flow</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(40,832)</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GAAP net cash used in investing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GAAP net cash used in financing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728" w:type="dxa"/>
            <w:gridSpan w:val="3"/>
            <w:tcBorders/>
            <w:vAlign w:val="center"/>
          </w:tcPr>
          <w:p>
            <w:pPr>
              <w:pStyle w:val="TableContents"/>
              <w:bidi w:val="0"/>
              <w:spacing w:before="0" w:after="283"/>
              <w:jc w:val="left"/>
              <w:rPr>
                <w:sz w:val="4"/>
                <w:szCs w:val="4"/>
              </w:rPr>
            </w:pPr>
            <w:r>
              <w:rPr>
                <w:sz w:val="4"/>
                <w:szCs w:val="4"/>
              </w:rPr>
            </w:r>
          </w:p>
        </w:tc>
        <w:tc>
          <w:tcPr>
            <w:tcW w:w="6477" w:type="dxa"/>
            <w:gridSpan w:val="27"/>
            <w:tcBorders/>
          </w:tcPr>
          <w:p>
            <w:pPr>
              <w:pStyle w:val="TableContents"/>
              <w:bidi w:val="0"/>
              <w:spacing w:before="0" w:after="283"/>
              <w:jc w:val="left"/>
              <w:rPr>
                <w:sz w:val="4"/>
                <w:szCs w:val="4"/>
              </w:rPr>
            </w:pPr>
            <w:r>
              <w:rPr>
                <w:sz w:val="4"/>
                <w:szCs w:val="4"/>
              </w:rPr>
            </w:r>
          </w:p>
        </w:tc>
      </w:tr>
      <w:tr>
        <w:trPr/>
        <w:tc>
          <w:tcPr>
            <w:tcW w:w="372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728"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FORMFACTOR,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724" w:type="dxa"/>
        <w:jc w:val="center"/>
        <w:tblInd w:w="0" w:type="dxa"/>
        <w:tblLayout w:type="fixed"/>
        <w:tblCellMar>
          <w:top w:w="28" w:type="dxa"/>
          <w:left w:w="28" w:type="dxa"/>
          <w:bottom w:w="28" w:type="dxa"/>
          <w:right w:w="28" w:type="dxa"/>
        </w:tblCellMar>
      </w:tblPr>
      <w:tblGrid>
        <w:gridCol w:w="2304"/>
        <w:gridCol w:w="2020"/>
        <w:gridCol w:w="2036"/>
        <w:gridCol w:w="196"/>
        <w:gridCol w:w="736"/>
        <w:gridCol w:w="109"/>
        <w:gridCol w:w="109"/>
        <w:gridCol w:w="109"/>
        <w:gridCol w:w="109"/>
        <w:gridCol w:w="196"/>
        <w:gridCol w:w="646"/>
        <w:gridCol w:w="154"/>
      </w:tblGrid>
      <w:tr>
        <w:trPr/>
        <w:tc>
          <w:tcPr>
            <w:tcW w:w="2304"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w:t>
              <w:br/>
              <w:t>2025</w:t>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Selected 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excess and obsolete 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equity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activity impacting operating cash flows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equity investment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(163,213)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common stock through stock repurchase program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repayments on term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withholdings related to net share settlements of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(126,301)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FORMFACTOR,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tbl>
      <w:tblPr>
        <w:tblW w:w="9797" w:type="dxa"/>
        <w:jc w:val="center"/>
        <w:tblInd w:w="0" w:type="dxa"/>
        <w:tblLayout w:type="fixed"/>
        <w:tblCellMar>
          <w:top w:w="28" w:type="dxa"/>
          <w:left w:w="28" w:type="dxa"/>
          <w:bottom w:w="28" w:type="dxa"/>
          <w:right w:w="28" w:type="dxa"/>
        </w:tblCellMar>
      </w:tblPr>
      <w:tblGrid>
        <w:gridCol w:w="1860"/>
        <w:gridCol w:w="1632"/>
        <w:gridCol w:w="1637"/>
        <w:gridCol w:w="109"/>
        <w:gridCol w:w="109"/>
        <w:gridCol w:w="109"/>
        <w:gridCol w:w="196"/>
        <w:gridCol w:w="871"/>
        <w:gridCol w:w="109"/>
        <w:gridCol w:w="109"/>
        <w:gridCol w:w="109"/>
        <w:gridCol w:w="109"/>
        <w:gridCol w:w="215"/>
        <w:gridCol w:w="956"/>
        <w:gridCol w:w="119"/>
        <w:gridCol w:w="109"/>
        <w:gridCol w:w="109"/>
        <w:gridCol w:w="109"/>
        <w:gridCol w:w="196"/>
        <w:gridCol w:w="871"/>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27,</w:t>
              <w:br/>
              <w:t>2025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669,509 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600,806 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557,054 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of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1,255,850 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1,224,362 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net of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132,111 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123,861 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 net of 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grant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197,051 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870,689 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863,547 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1,111,360 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1,058,799 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1,035,403 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1,342,480 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1,255,850 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1,224,362 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About our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the presentation of non-GAAP net income, non-GAAP net income per basic and diluted share, non-GAAP gross profit, non-GAAP gross margin, non-GAAP operating expenses, non-GAAP operating income and free cash flow provides supplemental information that is important to understand financial and business trends and other factors relating to our financial condition and results of operations. Non-GAAP net income, non-GAAP net income per basic and diluted share, non-GAAP gross profit, non-GAAP gross margin, non-GAAP operating expenses, and non-GAAP operating income are among the primary indicators used by management as a basis for planning and forecasting future periods, and by management and our board of directors to determine whether our operating performance has met certain targets and thresholds. Management uses non-GAAP net income, non-GAAP net income per basic and diluted share, non-GAAP gross profit, non-GAAP gross margin, non-GAAP operating expenses, and non-GAAP operating income when evaluating operating performance because it believes that the exclusion of the items indicated herein, for which the amounts or timing may vary significantly depending upon our activities and other factors, facilitates comparability of our operating performance from period to period. We use free cash flow to conduct and evaluate our business as an additional way of viewing our liquidity that, when viewed with our GAAP results, provides a more complete understanding of factors and trends affecting our cash flows. Many investors also prefer to track free cash flow, as opposed to only GAAP earnings. Free cash flow has limitations due to the fact that it does not represent the residual cash flow available for discretionary expenditures, and therefore it is important to view free cash flow as a complement to our entire consolidated statements of cash flows. We have chosen to provide this non-GAAP information to investors so they can analyze our operating results closer to the way that management does, and use this information in their assessment of our business and the valuation of our Company. We compute non-GAAP net income, non-GAAP net income per basic and diluted share, non-GAAP gross profit, non-GAAP gross margin, non-GAAP operating expenses, and non-GAAP operating income, by adjusting GAAP net income, GAAP net income per basic and diluted share, GAAP gross profit, GAAP gross margin, GAAP operating expenses, and GAAP operating income to remove the impact of certain items and the tax effect, if applicable, of those adjustments. These non-GAAP measures are not in accordance with, or an alternative to, GAAP, and may be materially different from other non-GAAP measures, including similarly titled non-GAAP measures used by other companies. The presentation of this additional information should not be considered in isolation from, as a substitute for, or superior to, net income, net income per basic and diluted share, gross profit, gross margin, operating expenses, or operating income in accordance with GAAP. Non-GAAP financial measures have limitations in that they do not reflect certain items that may have a material impact upon our reported financial results. We may expect to continue to incur expenses of a nature similar to the non-GAAP adjustments described above, and exclusion of these items from our non-GAAP net income, non-GAAP net income per basic and diluted share, non-GAAP gross profit, non-GAAP gross margin, non-GAAP operating expenses, and non-GAAP operating income should not be construed as an inference that these costs are unusual, infrequent or non-recurring. For more information on the non-GAAP adjustments, please see the table captioned “Non-GAAP Financial Measure Reconciliations” included in this press release.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Source: FormFactor,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FORM-F</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3856</Words>
  <Characters>21782</Characters>
  <CharactersWithSpaces>25252</CharactersWithSpaces>
  <Paragraphs>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