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02716.xml.htm"/>
      <w:bookmarkStart w:id="1" w:name="kswkform4_17864027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SLESSOR MIKE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7005 SOUTHFRONT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LIVERMORE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FORMFACTOR INC</w:t>
              </w:r>
            </w:hyperlink>
            <w:r>
              <w:rPr/>
              <w:t xml:space="preserve"> [ </w:t>
            </w:r>
            <w:r>
              <w:rPr>
                <w:rFonts w:ascii="Times;serif" w:hAnsi="Times;serif"/>
                <w:color w:val="0000FF"/>
                <w:sz w:val="24"/>
                <w:shd w:fill="FFFFFF" w:val="clear"/>
              </w:rPr>
              <w:t>FORM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51"/>
        <w:gridCol w:w="439"/>
        <w:gridCol w:w="836"/>
        <w:gridCol w:w="1138"/>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141,792</w:t>
            </w:r>
            <w:r>
              <w:rPr>
                <w:rFonts w:ascii="Times;serif" w:hAnsi="Times;serif"/>
                <w:color w:val="008000"/>
                <w:position w:val="7"/>
                <w:sz w:val="16"/>
                <w:sz w:val="20"/>
                <w:shd w:fill="FFFFFF" w:val="clear"/>
              </w:rPr>
              <w:t>(1)</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576,494</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78,908</w:t>
            </w:r>
            <w:r>
              <w:rPr>
                <w:rFonts w:ascii="Times;serif" w:hAnsi="Times;serif"/>
                <w:color w:val="008000"/>
                <w:position w:val="7"/>
                <w:sz w:val="16"/>
                <w:sz w:val="20"/>
                <w:shd w:fill="FFFFFF" w:val="clear"/>
              </w:rPr>
              <w:t>(2)</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117.39</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497,586</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5,908</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(3)</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503,494</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3,288</w:t>
            </w:r>
            <w:r>
              <w:rPr>
                <w:rFonts w:ascii="Times;serif" w:hAnsi="Times;serif"/>
                <w:color w:val="008000"/>
                <w:position w:val="7"/>
                <w:sz w:val="16"/>
                <w:sz w:val="20"/>
                <w:shd w:fill="FFFFFF" w:val="clear"/>
              </w:rPr>
              <w:t>(4)</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117.39</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500,206</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664" w:type="dxa"/>
        <w:jc w:val="left"/>
        <w:tblInd w:w="-7" w:type="dxa"/>
        <w:tblLayout w:type="fixed"/>
        <w:tblCellMar>
          <w:top w:w="60" w:type="dxa"/>
          <w:left w:w="60" w:type="dxa"/>
          <w:bottom w:w="60" w:type="dxa"/>
          <w:right w:w="60" w:type="dxa"/>
        </w:tblCellMar>
      </w:tblPr>
      <w:tblGrid>
        <w:gridCol w:w="1685"/>
        <w:gridCol w:w="861"/>
        <w:gridCol w:w="891"/>
        <w:gridCol w:w="771"/>
        <w:gridCol w:w="591"/>
        <w:gridCol w:w="300"/>
        <w:gridCol w:w="816"/>
        <w:gridCol w:w="816"/>
        <w:gridCol w:w="906"/>
        <w:gridCol w:w="801"/>
        <w:gridCol w:w="891"/>
        <w:gridCol w:w="921"/>
        <w:gridCol w:w="801"/>
        <w:gridCol w:w="936"/>
        <w:gridCol w:w="831"/>
        <w:gridCol w:w="846"/>
      </w:tblGrid>
      <w:tr>
        <w:trPr>
          <w:tblHeader w:val="true"/>
        </w:trPr>
        <w:tc>
          <w:tcPr>
            <w:tcW w:w="136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6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27,696</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27,696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27,696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Performance-based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141,792</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141,792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141,792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Performance-based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141,792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141,792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5,908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Performance-based Restricted Stock Units were previously granted and became vested based on the achievement of certain performance criteria in the period 7/1/2023 - 6/30/2026. The Compensation Committee has determined that such performance criteria have been met.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withheld upon vesting and settlement of the Performance-based Restricted Stock Units to cover tax withholding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of common stock reflect the settlement of restricted stock units of the Issuer. Each Restricted Stock Unit (RSU) is convertible into a share of common stock on a 1-for-1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number of shares withheld upon vesting of Restricted Stock Units to cover tax withholding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Restricted Stock Units granted on August 6, 2026 vest in twelve (12) quarterly installments beginning on November 6, 2026 and end on August 6, 2029 and will be settled into shares of common stocks on or following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If the reporting person's employment is terminated for any reason before an applicable vesting date, all Restricted Stock Units that have not yet vested shall be forfeited without consideration, except as provided in the change of control severance agreement and any other agreements regarding equity vesting and exercisability between the reporting person and Issuer, which agreements or form agreements are filed with the SEC.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Restricted Stock Units granted on August 7, 2023 vest in twelve (12) quarterly installments beginning on November 7, 2023 and ending on August 7, 2026 and will be settled into shares of common stock on or following the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Stan Finkelstein, Attorney-in-fact for Mike Slessor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0177" TargetMode="External"/><Relationship Id="rId5" Type="http://schemas.openxmlformats.org/officeDocument/2006/relationships/hyperlink" Target="http://www.sec.gov/cgi-bin/browse-edgar?action=getcompany&amp;CIK=00010393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911</Words>
  <Characters>4913</Characters>
  <CharactersWithSpaces>5678</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