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139777.xml.htm"/>
      <w:bookmarkStart w:id="1" w:name="kswkform4_178613977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SLESSOR MIKE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7005 SOUTHFRONT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LIVERMORE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FORMFACTOR INC</w:t>
              </w:r>
            </w:hyperlink>
            <w:r>
              <w:rPr/>
              <w:t xml:space="preserve"> [ </w:t>
            </w:r>
            <w:r>
              <w:rPr>
                <w:rFonts w:ascii="Times;serif" w:hAnsi="Times;serif"/>
                <w:color w:val="0000FF"/>
                <w:sz w:val="24"/>
                <w:shd w:fill="FFFFFF" w:val="clear"/>
              </w:rPr>
              <w:t>FORM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84"/>
        <w:gridCol w:w="451"/>
        <w:gridCol w:w="838"/>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3,644</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434,056</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2,028</w:t>
            </w:r>
            <w:r>
              <w:rPr>
                <w:rFonts w:ascii="Times;serif" w:hAnsi="Times;serif"/>
                <w:color w:val="008000"/>
                <w:position w:val="7"/>
                <w:sz w:val="16"/>
                <w:sz w:val="20"/>
                <w:shd w:fill="FFFFFF" w:val="clear"/>
              </w:rPr>
              <w:t>(2)</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114.44</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432,028</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6,031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438,059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3,357</w:t>
            </w:r>
            <w:r>
              <w:rPr>
                <w:rFonts w:ascii="Times;serif" w:hAnsi="Times;serif"/>
                <w:color w:val="008000"/>
                <w:position w:val="7"/>
                <w:sz w:val="16"/>
                <w:sz w:val="20"/>
                <w:shd w:fill="FFFFFF" w:val="clear"/>
              </w:rPr>
              <w:t>(2)</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115.21</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434,702</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3,644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3,644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14,576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6,031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6,031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48,248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of common stock reflect the settlement of restricted stock units of the Issuer. Each Restricted Stock Unit (RSU) is convertible into a share of common stock on a 1-for-1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number of shares withheld upon vesting of restricted stock units to cover tax withholding obligations.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Restricted Stock Units granted on August 5, 2024 vest in twelve (12) quarterly installments beginning on November 5, 2024 and ending on August 5, 2027 and will be settled into shares of common stock on or following the vesting dates.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If the reporting person's employment is terminated for any reason before an applicable Vesting Date, all restricted stock units that have not yet vested shall be forfeited without consideration, except as provided in the change of control severance agreement and any other agreements regarding equity vesting and exercisability between the reporting person and Issuer, which agreements or form agreements are filed with the SEC.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Restricted Stock Units granted on August 6, 2025 vest in twelve (12) quarterly installments beginning on November 6, 2025 and ending on August 6, 2028 and will be settled into shares of common stock on or following the vesting dates.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Stan Finkelstein, Attorney-in-fact for Mike Slessor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90177" TargetMode="External"/><Relationship Id="rId5" Type="http://schemas.openxmlformats.org/officeDocument/2006/relationships/hyperlink" Target="http://www.sec.gov/cgi-bin/browse-edgar?action=getcompany&amp;CIK=000103939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819</Words>
  <Characters>4369</Characters>
  <CharactersWithSpaces>5068</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